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Style w:val="NormalTable"/>
        <w:tblW w:w="0" w:type="auto"/>
        <w:tblBorders>
          <w:top w:val="none" w:sz="6" w:space="0" w:color="000000"/>
          <w:left w:val="none" w:sz="6" w:space="0" w:color="000000"/>
          <w:bottom w:val="none" w:sz="6" w:space="0" w:color="000000"/>
          <w:right w:val="none" w:sz="6" w:space="0" w:color="000000"/>
          <w:insideH w:val="none" w:sz="6" w:space="0" w:color="000000"/>
          <w:insideV w:val="non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9906"/>
      </w:tblGrid>
      <w:tr w:rsidR="00000000">
        <w:tc>
          <w:tcPr>
            <w:tcW w:w="10772" w:type="dxa"/>
            <w:tcBorders>
              <w:top w:val="none" w:sz="6" w:space="0" w:color="000000"/>
              <w:left w:val="none" w:sz="6" w:space="0" w:color="000000"/>
              <w:bottom w:val="none" w:sz="6" w:space="0" w:color="000000"/>
              <w:right w:val="non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 xml:space="preserve">Утв. приказом Минфина РФ </w:t>
            </w:r>
            <w:r>
              <w:rPr>
                <w:rFonts w:ascii="Times New Roman" w:eastAsia="Times New Roman" w:hAnsi="Times New Roman"/>
                <w:sz w:val="20"/>
              </w:rPr>
              <w:br/>
              <w:t xml:space="preserve">от 28 декабря 2010 г. № 191н </w:t>
            </w:r>
            <w:r>
              <w:rPr>
                <w:rFonts w:ascii="Times New Roman" w:eastAsia="Times New Roman" w:hAnsi="Times New Roman"/>
                <w:sz w:val="20"/>
              </w:rPr>
              <w:br/>
            </w:r>
            <w:r>
              <w:rPr>
                <w:rFonts w:ascii="Times New Roman" w:eastAsia="Times New Roman" w:hAnsi="Times New Roman"/>
                <w:i/>
                <w:sz w:val="20"/>
              </w:rPr>
              <w:t>(в ред. от 16 ноября 2016 г.)</w:t>
            </w:r>
          </w:p>
        </w:tc>
      </w:tr>
    </w:tbl>
    <w:p w:rsidR="00000000" w:rsidRDefault="00B51782">
      <w:pPr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vanish/>
          <w:sz w:val="24"/>
        </w:rPr>
        <w:t> </w:t>
      </w:r>
    </w:p>
    <w:tbl>
      <w:tblPr>
        <w:tblStyle w:val="NormalTable"/>
        <w:tblW w:w="9580" w:type="dxa"/>
        <w:tblInd w:w="93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/>
      </w:tblPr>
      <w:tblGrid>
        <w:gridCol w:w="6816"/>
        <w:gridCol w:w="338"/>
        <w:gridCol w:w="1129"/>
        <w:gridCol w:w="1297"/>
      </w:tblGrid>
      <w:tr w:rsidR="00000000">
        <w:trPr>
          <w:trHeight w:val="270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0"/>
              </w:rPr>
              <w:t>ПОЯСНИТЕЛЬНАЯ ЗАПИСКА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6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</w:tr>
      <w:tr w:rsidR="00000000">
        <w:trPr>
          <w:trHeight w:val="255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КОДЫ</w:t>
            </w:r>
          </w:p>
        </w:tc>
      </w:tr>
      <w:tr w:rsidR="00000000">
        <w:trPr>
          <w:trHeight w:val="282"/>
        </w:trPr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Форма по ОКУД</w:t>
            </w:r>
          </w:p>
        </w:tc>
        <w:tc>
          <w:tcPr>
            <w:tcW w:w="1680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0503160</w:t>
            </w:r>
          </w:p>
        </w:tc>
      </w:tr>
      <w:tr w:rsidR="00000000">
        <w:trPr>
          <w:trHeight w:val="282"/>
        </w:trPr>
        <w:tc>
          <w:tcPr>
            <w:tcW w:w="0" w:type="auto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                          на   1 января 2020 г.</w:t>
            </w: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 Дата</w:t>
            </w:r>
          </w:p>
        </w:tc>
        <w:tc>
          <w:tcPr>
            <w:tcW w:w="1680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01.01.2020</w:t>
            </w:r>
          </w:p>
        </w:tc>
      </w:tr>
      <w:tr w:rsidR="00000000">
        <w:trPr>
          <w:trHeight w:val="300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Главный распорядитель, распорядитель,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</w:tr>
      <w:tr w:rsidR="00000000">
        <w:trPr>
          <w:trHeight w:val="195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spacing w:line="195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получатель бюджетных средств, главный администратор,   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0"/>
              </w:rPr>
            </w:pPr>
          </w:p>
        </w:tc>
      </w:tr>
      <w:tr w:rsidR="00000000">
        <w:trPr>
          <w:trHeight w:val="195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spacing w:line="195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администратор доходов бюджета,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spacing w:line="195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по ОКПО</w:t>
            </w:r>
          </w:p>
        </w:tc>
        <w:tc>
          <w:tcPr>
            <w:tcW w:w="16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0"/>
              </w:rPr>
            </w:pPr>
          </w:p>
        </w:tc>
      </w:tr>
      <w:tr w:rsidR="00000000">
        <w:trPr>
          <w:trHeight w:val="195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spacing w:line="195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главный администратор, администратор 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0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non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0"/>
              </w:rPr>
            </w:pPr>
          </w:p>
        </w:tc>
      </w:tr>
      <w:tr w:rsidR="00000000">
        <w:trPr>
          <w:trHeight w:val="195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spacing w:line="195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администратор источников финансирования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0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0"/>
              </w:rPr>
            </w:pPr>
          </w:p>
        </w:tc>
      </w:tr>
      <w:tr w:rsidR="00000000">
        <w:tc>
          <w:tcPr>
            <w:tcW w:w="0" w:type="auto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дефицита бюджета </w:t>
            </w:r>
            <w:r>
              <w:rPr>
                <w:rFonts w:ascii="Times New Roman" w:eastAsia="Times New Roman" w:hAnsi="Times New Roman"/>
                <w:sz w:val="18"/>
                <w:u w:val="single"/>
              </w:rPr>
              <w:t>Государственное казенное учреждение социального обс</w:t>
            </w:r>
            <w:r>
              <w:rPr>
                <w:rFonts w:ascii="Times New Roman" w:eastAsia="Times New Roman" w:hAnsi="Times New Roman"/>
                <w:sz w:val="18"/>
                <w:u w:val="single"/>
              </w:rPr>
              <w:t>луживания Псковской области "Центр социального обслуживания Новосокольнического района"</w:t>
            </w:r>
            <w:r>
              <w:rPr>
                <w:rFonts w:ascii="Times New Roman" w:eastAsia="Times New Roman" w:hAnsi="Times New Roman"/>
                <w:sz w:val="18"/>
              </w:rPr>
              <w:t>         </w:t>
            </w:r>
          </w:p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Глава по БК</w:t>
            </w:r>
          </w:p>
        </w:tc>
        <w:tc>
          <w:tcPr>
            <w:tcW w:w="1680" w:type="dxa"/>
            <w:tcBorders>
              <w:top w:val="non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/>
        </w:tc>
      </w:tr>
      <w:tr w:rsidR="00000000">
        <w:trPr>
          <w:trHeight w:val="280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Наименование бюджета 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6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</w:tr>
      <w:tr w:rsidR="00000000">
        <w:trPr>
          <w:trHeight w:val="210"/>
        </w:trPr>
        <w:tc>
          <w:tcPr>
            <w:tcW w:w="0" w:type="auto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(публично-правового образования) </w:t>
            </w:r>
            <w:r>
              <w:rPr>
                <w:rFonts w:ascii="Times New Roman" w:eastAsia="Times New Roman" w:hAnsi="Times New Roman"/>
                <w:sz w:val="18"/>
                <w:u w:val="single"/>
              </w:rPr>
              <w:t>Бюджет субъекта РФ</w:t>
            </w:r>
            <w:r>
              <w:rPr>
                <w:rFonts w:ascii="Times New Roman" w:eastAsia="Times New Roman" w:hAnsi="Times New Roman"/>
                <w:sz w:val="18"/>
              </w:rPr>
              <w:t xml:space="preserve"> </w:t>
            </w:r>
          </w:p>
          <w:p w:rsidR="00000000" w:rsidRDefault="00B51782">
            <w:pPr>
              <w:spacing w:line="21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   </w:t>
            </w: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spacing w:line="210" w:lineRule="atLeast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по ОКТМО</w:t>
            </w:r>
          </w:p>
        </w:tc>
        <w:tc>
          <w:tcPr>
            <w:tcW w:w="16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spacing w:line="21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5"/>
              </w:rPr>
              <w:t>58000000</w:t>
            </w:r>
          </w:p>
        </w:tc>
      </w:tr>
      <w:tr w:rsidR="00000000">
        <w:trPr>
          <w:trHeight w:val="315"/>
        </w:trPr>
        <w:tc>
          <w:tcPr>
            <w:tcW w:w="59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 xml:space="preserve">Периодичность:    месячная, квартальная, </w:t>
            </w:r>
            <w:r>
              <w:rPr>
                <w:rFonts w:ascii="Times New Roman" w:eastAsia="Times New Roman" w:hAnsi="Times New Roman"/>
                <w:sz w:val="18"/>
              </w:rPr>
              <w:t>годовая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non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</w:tr>
      <w:tr w:rsidR="00000000">
        <w:trPr>
          <w:trHeight w:val="282"/>
        </w:trPr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Единица измерения: руб.</w:t>
            </w: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spacing w:before="240" w:beforeAutospacing="1" w:after="240" w:afterAutospacing="1"/>
              <w:jc w:val="righ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    по ОКЕИ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18"/>
              </w:rPr>
              <w:t>383</w:t>
            </w:r>
          </w:p>
        </w:tc>
      </w:tr>
      <w:tr w:rsidR="00000000">
        <w:trPr>
          <w:trHeight w:val="282"/>
        </w:trPr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16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</w:tr>
      <w:tr w:rsidR="00000000">
        <w:trPr>
          <w:trHeight w:val="282"/>
        </w:trPr>
        <w:tc>
          <w:tcPr>
            <w:tcW w:w="0" w:type="auto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</w:tr>
    </w:tbl>
    <w:p w:rsidR="00000000" w:rsidRDefault="00B51782">
      <w:pPr>
        <w:jc w:val="center"/>
      </w:pPr>
      <w:r>
        <w:rPr>
          <w:rFonts w:ascii="Times New Roman" w:eastAsia="Times New Roman" w:hAnsi="Times New Roman"/>
          <w:b/>
          <w:color w:val="000000"/>
          <w:sz w:val="28"/>
        </w:rPr>
        <w:t>Раздел 1. Организационная структура</w:t>
      </w:r>
    </w:p>
    <w:p w:rsidR="00000000" w:rsidRDefault="00B51782">
      <w:pPr>
        <w:jc w:val="center"/>
      </w:pPr>
      <w:r>
        <w:rPr>
          <w:rFonts w:ascii="Times New Roman" w:eastAsia="Times New Roman" w:hAnsi="Times New Roman"/>
          <w:b/>
          <w:sz w:val="28"/>
        </w:rPr>
        <w:t> 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color w:val="000000"/>
          <w:sz w:val="28"/>
        </w:rPr>
        <w:t>Годовая бюджетная отчетность за  2019 год составлена в соответствии с Инструкцией о порядке составления и представления годовой, квартальной и месячной отчет</w:t>
      </w:r>
      <w:r>
        <w:rPr>
          <w:rFonts w:ascii="Times New Roman" w:eastAsia="Times New Roman" w:hAnsi="Times New Roman"/>
          <w:color w:val="000000"/>
          <w:sz w:val="28"/>
        </w:rPr>
        <w:t>ности об исполнении бюджетов бюджетной системы Российской Федерации, утвержденной приказом Министерства финансов Российской Федерации от 28 декабря 2010 года №191н (с изменениями).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color w:val="000000"/>
          <w:sz w:val="28"/>
        </w:rPr>
        <w:t>Порядок составления и сроки представления отчетности об исполнении областно</w:t>
      </w:r>
      <w:r>
        <w:rPr>
          <w:rFonts w:ascii="Times New Roman" w:eastAsia="Times New Roman" w:hAnsi="Times New Roman"/>
          <w:color w:val="000000"/>
          <w:sz w:val="28"/>
        </w:rPr>
        <w:t xml:space="preserve">го бюджета утверждены приказом Комитета по финансам  Псковской области от 25.12.2019г. №119, а также приказом Комитета по социальной защите  Псковской области от 28.12.2019 №155-ОП. 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color w:val="000000"/>
          <w:sz w:val="28"/>
        </w:rPr>
        <w:t>Государственное казенное учреждение социального обслуживания Псковской об</w:t>
      </w:r>
      <w:r>
        <w:rPr>
          <w:rFonts w:ascii="Times New Roman" w:eastAsia="Times New Roman" w:hAnsi="Times New Roman"/>
          <w:color w:val="000000"/>
          <w:sz w:val="28"/>
        </w:rPr>
        <w:t>ласти «Центр социального обслуживания Новосокольнического района» (сокращенно : ГКУСО «Центр социального обслуживания Новосокольнического района») является правопреемником муниципального учреждения «Центр социального обслуживания населения Новосокольническ</w:t>
      </w:r>
      <w:r>
        <w:rPr>
          <w:rFonts w:ascii="Times New Roman" w:eastAsia="Times New Roman" w:hAnsi="Times New Roman"/>
          <w:color w:val="000000"/>
          <w:sz w:val="28"/>
        </w:rPr>
        <w:t>ого района», созданного на основании распоряжения Администрации Новосокольнического района от 24.12.1993 года №763. В единый государственный реестр юридических лиц внесена запись о юридическом лице за основным государственным регистрационным номером 102600</w:t>
      </w:r>
      <w:r>
        <w:rPr>
          <w:rFonts w:ascii="Times New Roman" w:eastAsia="Times New Roman" w:hAnsi="Times New Roman"/>
          <w:color w:val="000000"/>
          <w:sz w:val="28"/>
        </w:rPr>
        <w:t>1544470.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color w:val="000000"/>
          <w:sz w:val="28"/>
        </w:rPr>
        <w:lastRenderedPageBreak/>
        <w:t>В 2011 году , в соответствии с распоряжением Администрации области от 08.06.2011 №138-р «О создании государственных казенных учреждений социального обслуживания Псковской области путем изменения типа государственных учреждений социального обслужив</w:t>
      </w:r>
      <w:r>
        <w:rPr>
          <w:rFonts w:ascii="Times New Roman" w:eastAsia="Times New Roman" w:hAnsi="Times New Roman"/>
          <w:color w:val="000000"/>
          <w:sz w:val="28"/>
        </w:rPr>
        <w:t>ания Псковской области» и на основании приказа Главного государственного управления социальной защиты населения Псковской области от 28.06.2011 №180, государственное учреждение социального обслуживания «Центр социального обслуживания» Новосокольнического р</w:t>
      </w:r>
      <w:r>
        <w:rPr>
          <w:rFonts w:ascii="Times New Roman" w:eastAsia="Times New Roman" w:hAnsi="Times New Roman"/>
          <w:color w:val="000000"/>
          <w:sz w:val="28"/>
        </w:rPr>
        <w:t xml:space="preserve">айона было переименовано в Государственное казенное учреждение социального обслуживания Псковской области «Центр социального обслуживания Новосокольнического района». 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color w:val="000000"/>
          <w:sz w:val="28"/>
        </w:rPr>
        <w:t xml:space="preserve">В соответствии с Распоряжением Администрации Псковской области от 12.01.2015г. №10-р «О </w:t>
      </w:r>
      <w:r>
        <w:rPr>
          <w:rFonts w:ascii="Times New Roman" w:eastAsia="Times New Roman" w:hAnsi="Times New Roman"/>
          <w:color w:val="000000"/>
          <w:sz w:val="28"/>
        </w:rPr>
        <w:t>реорганизации государственного казенного учреждения социального обслуживания Псковской области «Центр социального обслуживания Новосокольнического района» произошла реорганизация в форме присоединения государственного казенного учреждения социального обслу</w:t>
      </w:r>
      <w:r>
        <w:rPr>
          <w:rFonts w:ascii="Times New Roman" w:eastAsia="Times New Roman" w:hAnsi="Times New Roman"/>
          <w:color w:val="000000"/>
          <w:sz w:val="28"/>
        </w:rPr>
        <w:t>живания Псковской области «Социально-реабилитационный центр для несовершеннолетних Новосокольнического района».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color w:val="000000"/>
          <w:sz w:val="28"/>
        </w:rPr>
        <w:t>Деятельность учреждения направлена на предоставление социальных услуг в соответствии с перечнем гарантированных социальных услуг, предоставляемы</w:t>
      </w:r>
      <w:r>
        <w:rPr>
          <w:rFonts w:ascii="Times New Roman" w:eastAsia="Times New Roman" w:hAnsi="Times New Roman"/>
          <w:color w:val="000000"/>
          <w:sz w:val="28"/>
        </w:rPr>
        <w:t>х гражданам, на проведение социальных , профилактических и иных мероприятий, предоставление мер социальной поддержки отдельным категориям граждан. Основной вид деятельности по ОКВЭД – 88.10. Кроме того, оказываются услуги по социальной реабилитации несовер</w:t>
      </w:r>
      <w:r>
        <w:rPr>
          <w:rFonts w:ascii="Times New Roman" w:eastAsia="Times New Roman" w:hAnsi="Times New Roman"/>
          <w:color w:val="000000"/>
          <w:sz w:val="28"/>
        </w:rPr>
        <w:t xml:space="preserve">шеннолетних.  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color w:val="000000"/>
          <w:sz w:val="28"/>
        </w:rPr>
        <w:t>По состоянию на 01.01.2019 года количество штатных единиц по учреждению составило 74,5. Фактическая численность работников - 75 человек.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sz w:val="28"/>
        </w:rPr>
        <w:t xml:space="preserve">Сведения о количестве подведомственных получателей бюджетных средств приведены в ф.0503161. 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color w:val="000000"/>
          <w:sz w:val="28"/>
        </w:rPr>
        <w:t> </w:t>
      </w:r>
    </w:p>
    <w:p w:rsidR="00000000" w:rsidRDefault="00B51782">
      <w:pPr>
        <w:jc w:val="center"/>
      </w:pPr>
      <w:r>
        <w:rPr>
          <w:rFonts w:ascii="Times New Roman" w:eastAsia="Times New Roman" w:hAnsi="Times New Roman"/>
          <w:b/>
          <w:color w:val="000000"/>
          <w:sz w:val="28"/>
        </w:rPr>
        <w:t>Раздел 2.</w:t>
      </w:r>
      <w:r>
        <w:rPr>
          <w:rFonts w:ascii="Times New Roman" w:eastAsia="Times New Roman" w:hAnsi="Times New Roman"/>
          <w:b/>
          <w:color w:val="000000"/>
          <w:sz w:val="28"/>
        </w:rPr>
        <w:t xml:space="preserve"> Результаты деятельности</w:t>
      </w:r>
    </w:p>
    <w:p w:rsidR="00000000" w:rsidRDefault="00B51782">
      <w:pPr>
        <w:jc w:val="both"/>
      </w:pPr>
      <w:r>
        <w:rPr>
          <w:rFonts w:ascii="Times New Roman" w:eastAsia="Times New Roman" w:hAnsi="Times New Roman"/>
          <w:sz w:val="28"/>
        </w:rPr>
        <w:t xml:space="preserve">          </w:t>
      </w:r>
    </w:p>
    <w:p w:rsidR="00000000" w:rsidRDefault="00B51782">
      <w:pPr>
        <w:jc w:val="both"/>
      </w:pPr>
      <w:r>
        <w:rPr>
          <w:rFonts w:ascii="Times New Roman" w:eastAsia="Times New Roman" w:hAnsi="Times New Roman"/>
          <w:sz w:val="28"/>
        </w:rPr>
        <w:t>          Государственное задание на 2019 год – обслужить на дому социальными работниками 279 человек и 72 человека - участковыми социальными работниками. Фактически количество граждан, получающих социальные услуги в фор</w:t>
      </w:r>
      <w:r>
        <w:rPr>
          <w:rFonts w:ascii="Times New Roman" w:eastAsia="Times New Roman" w:hAnsi="Times New Roman"/>
          <w:sz w:val="28"/>
        </w:rPr>
        <w:t>ме социального обслуживания на дому на конец года составило 351 человек, количество оказанных социальных услуг – 55707 ед. Срочные социальные услуги получили 56 человек.  При выезде мобильных бригад медико-социального обслуживания получили услуги 53 челове</w:t>
      </w:r>
      <w:r>
        <w:rPr>
          <w:rFonts w:ascii="Times New Roman" w:eastAsia="Times New Roman" w:hAnsi="Times New Roman"/>
          <w:sz w:val="28"/>
        </w:rPr>
        <w:t>ка. Количество граждан пожилого возраста, кому мобильными бригадами и социальными работниками были доставлены лекарства на дом, составило 1976 человек. В полустационарной форме ежедневно предоставлялись услуги 2 семьям с детьми. Оказываются услуги и в стац</w:t>
      </w:r>
      <w:r>
        <w:rPr>
          <w:rFonts w:ascii="Times New Roman" w:eastAsia="Times New Roman" w:hAnsi="Times New Roman"/>
          <w:sz w:val="28"/>
        </w:rPr>
        <w:t xml:space="preserve">ионарной форме социального обслуживания. Норма обслуживания - 15 человек. Фактически за 2019 года в </w:t>
      </w:r>
      <w:r>
        <w:rPr>
          <w:rFonts w:ascii="Times New Roman" w:eastAsia="Times New Roman" w:hAnsi="Times New Roman"/>
          <w:sz w:val="28"/>
        </w:rPr>
        <w:lastRenderedPageBreak/>
        <w:t>службе социальной реабилитации несовершеннолетних в среднем было занято  15,6  койко-места.</w:t>
      </w:r>
    </w:p>
    <w:p w:rsidR="00000000" w:rsidRDefault="00B51782">
      <w:pPr>
        <w:jc w:val="both"/>
      </w:pPr>
      <w:r>
        <w:rPr>
          <w:rFonts w:ascii="Times New Roman" w:eastAsia="Times New Roman" w:hAnsi="Times New Roman"/>
          <w:b/>
          <w:sz w:val="28"/>
        </w:rPr>
        <w:t xml:space="preserve">          </w:t>
      </w:r>
      <w:r>
        <w:rPr>
          <w:rFonts w:ascii="Times New Roman" w:eastAsia="Times New Roman" w:hAnsi="Times New Roman"/>
          <w:sz w:val="28"/>
        </w:rPr>
        <w:t>Согласно действующему федеральному и региональному зак</w:t>
      </w:r>
      <w:r>
        <w:rPr>
          <w:rFonts w:ascii="Times New Roman" w:eastAsia="Times New Roman" w:hAnsi="Times New Roman"/>
          <w:sz w:val="28"/>
        </w:rPr>
        <w:t xml:space="preserve">онодательству значительное количество категориальных групп населения имели право на получение  различных мер социальной поддержки. За 2019 год их численность составила 6137 человек. Расходы на эти цели составили 75941,7  тыс.руб. </w:t>
      </w:r>
    </w:p>
    <w:p w:rsidR="00000000" w:rsidRDefault="00B51782">
      <w:pPr>
        <w:jc w:val="both"/>
      </w:pPr>
      <w:r>
        <w:rPr>
          <w:rFonts w:ascii="Times New Roman" w:eastAsia="Times New Roman" w:hAnsi="Times New Roman"/>
          <w:sz w:val="28"/>
        </w:rPr>
        <w:t>          Сведения о резу</w:t>
      </w:r>
      <w:r>
        <w:rPr>
          <w:rFonts w:ascii="Times New Roman" w:eastAsia="Times New Roman" w:hAnsi="Times New Roman"/>
          <w:sz w:val="28"/>
        </w:rPr>
        <w:t>льтатах деятельности приведены в форме  0503162.</w:t>
      </w:r>
    </w:p>
    <w:p w:rsidR="00000000" w:rsidRDefault="00B51782">
      <w:pPr>
        <w:jc w:val="both"/>
      </w:pPr>
      <w:r>
        <w:rPr>
          <w:rFonts w:ascii="Times New Roman" w:eastAsia="Times New Roman" w:hAnsi="Times New Roman"/>
          <w:sz w:val="28"/>
        </w:rPr>
        <w:t> </w:t>
      </w:r>
    </w:p>
    <w:p w:rsidR="00000000" w:rsidRDefault="00B51782">
      <w:pPr>
        <w:jc w:val="center"/>
      </w:pPr>
      <w:r>
        <w:rPr>
          <w:rFonts w:ascii="Times New Roman" w:eastAsia="Times New Roman" w:hAnsi="Times New Roman"/>
          <w:b/>
          <w:sz w:val="28"/>
        </w:rPr>
        <w:t>Раздел 3. Анализ отчета об исполнении областного бюджета</w:t>
      </w:r>
    </w:p>
    <w:p w:rsidR="00000000" w:rsidRDefault="00B51782">
      <w:pPr>
        <w:ind w:firstLine="696"/>
        <w:jc w:val="both"/>
      </w:pPr>
      <w:r>
        <w:rPr>
          <w:rFonts w:ascii="Times New Roman" w:eastAsia="Times New Roman" w:hAnsi="Times New Roman"/>
          <w:sz w:val="28"/>
        </w:rPr>
        <w:t>Областной бюджет на 2019 год утвержден Законом Псковской области от 28.12.2018 N 1910-ОЗ "Об областном бюджете на 2019 год и на плановый период 2020</w:t>
      </w:r>
      <w:r>
        <w:rPr>
          <w:rFonts w:ascii="Times New Roman" w:eastAsia="Times New Roman" w:hAnsi="Times New Roman"/>
          <w:sz w:val="28"/>
        </w:rPr>
        <w:t xml:space="preserve"> и 2021 годов". Доходная часть составила 900196,38 руб. На 901062,18 руб. оказаны платные социальные услуги населению и 865,80 руб. составил возврат невыясненных платежей. В числе невыясненных поступлений - ошибочно перечисленные средства на обеспечение го</w:t>
      </w:r>
      <w:r>
        <w:rPr>
          <w:rFonts w:ascii="Times New Roman" w:eastAsia="Times New Roman" w:hAnsi="Times New Roman"/>
          <w:sz w:val="28"/>
        </w:rPr>
        <w:t>сударственного контракта. Результат исполнения бюджета по расходам – 99,69%.</w:t>
      </w:r>
    </w:p>
    <w:p w:rsidR="00000000" w:rsidRDefault="00B51782">
      <w:pPr>
        <w:spacing w:before="100" w:after="240"/>
        <w:ind w:firstLine="705"/>
      </w:pPr>
      <w:r>
        <w:rPr>
          <w:rFonts w:ascii="Times New Roman" w:eastAsia="Times New Roman" w:hAnsi="Times New Roman"/>
          <w:sz w:val="28"/>
        </w:rPr>
        <w:t>Сведения об исполнении текстовых статей закона об областном бюджете приведены в таблице № 3.</w:t>
      </w:r>
    </w:p>
    <w:p w:rsidR="00000000" w:rsidRDefault="00B51782">
      <w:pPr>
        <w:spacing w:before="100" w:after="240"/>
        <w:ind w:firstLine="705"/>
      </w:pPr>
      <w:r>
        <w:rPr>
          <w:rFonts w:ascii="Times New Roman" w:eastAsia="Times New Roman" w:hAnsi="Times New Roman"/>
          <w:sz w:val="28"/>
        </w:rPr>
        <w:t>Сведения об изменении бюджетной росписи Государственного казенного учреждения социальн</w:t>
      </w:r>
      <w:r>
        <w:rPr>
          <w:rFonts w:ascii="Times New Roman" w:eastAsia="Times New Roman" w:hAnsi="Times New Roman"/>
          <w:sz w:val="28"/>
        </w:rPr>
        <w:t xml:space="preserve">ого обслуживания Псковской области «Центр социального обслуживания Новосокольнического района» приведены в форме 0503163. </w:t>
      </w:r>
    </w:p>
    <w:p w:rsidR="00000000" w:rsidRDefault="00B51782">
      <w:pPr>
        <w:spacing w:before="100" w:after="240"/>
        <w:ind w:firstLine="705"/>
      </w:pPr>
      <w:r>
        <w:rPr>
          <w:rFonts w:ascii="Times New Roman" w:eastAsia="Times New Roman" w:hAnsi="Times New Roman"/>
          <w:sz w:val="28"/>
        </w:rPr>
        <w:t> </w:t>
      </w:r>
    </w:p>
    <w:p w:rsidR="00000000" w:rsidRDefault="00B51782">
      <w:pPr>
        <w:ind w:firstLine="720"/>
        <w:jc w:val="center"/>
      </w:pPr>
      <w:r>
        <w:rPr>
          <w:rFonts w:ascii="Times New Roman" w:eastAsia="Times New Roman" w:hAnsi="Times New Roman"/>
          <w:b/>
          <w:sz w:val="28"/>
        </w:rPr>
        <w:t>Раздел 4.  Анализ показателей финансовой отчетности областного бюджета</w:t>
      </w:r>
    </w:p>
    <w:p w:rsidR="00000000" w:rsidRDefault="00B51782">
      <w:pPr>
        <w:ind w:firstLine="720"/>
        <w:jc w:val="center"/>
      </w:pPr>
      <w:r>
        <w:rPr>
          <w:rFonts w:ascii="Times New Roman" w:eastAsia="Times New Roman" w:hAnsi="Times New Roman"/>
          <w:b/>
          <w:sz w:val="28"/>
        </w:rPr>
        <w:t> </w:t>
      </w:r>
    </w:p>
    <w:p w:rsidR="00000000" w:rsidRDefault="00B51782">
      <w:pPr>
        <w:ind w:firstLine="709"/>
        <w:jc w:val="both"/>
      </w:pPr>
      <w:r>
        <w:rPr>
          <w:rFonts w:ascii="Times New Roman" w:eastAsia="Times New Roman" w:hAnsi="Times New Roman"/>
          <w:sz w:val="28"/>
        </w:rPr>
        <w:t>Сведения о движении нефинансовых активов приведены в форме</w:t>
      </w:r>
      <w:r>
        <w:rPr>
          <w:rFonts w:ascii="Times New Roman" w:eastAsia="Times New Roman" w:hAnsi="Times New Roman"/>
          <w:sz w:val="28"/>
        </w:rPr>
        <w:t xml:space="preserve"> 0503168. В 2019 году за счет средств областного бюджета приобретены технические средства реабилитации (смартфон и часы) для незрячих  на сумму 15450,00 руб. для 2 человек в рамках государственной программы Псковской области «Доступная среда для инвалидов </w:t>
      </w:r>
      <w:r>
        <w:rPr>
          <w:rFonts w:ascii="Times New Roman" w:eastAsia="Times New Roman" w:hAnsi="Times New Roman"/>
          <w:sz w:val="28"/>
        </w:rPr>
        <w:t>и иных маломобильных групп населения на 2014-2020г.г.». Комитетом по социальной защите Псковской области приобретена и передана безвозмездно Центру социального обслуживания автомашина для доставки лиц, старше 65 лет, проживающих в сельской местности, в мед</w:t>
      </w:r>
      <w:r>
        <w:rPr>
          <w:rFonts w:ascii="Times New Roman" w:eastAsia="Times New Roman" w:hAnsi="Times New Roman"/>
          <w:sz w:val="28"/>
        </w:rPr>
        <w:t>ицинские организации стоимостью 752900,00 руб. Получены безвозмездно от ГБУСО «Реабилитационный центр для детей и подростков с ограниченными возможностями» автомашина и тахограф на общую сумму 398566,88 руб. Кроме того , в качестве подарка от физического л</w:t>
      </w:r>
      <w:r>
        <w:rPr>
          <w:rFonts w:ascii="Times New Roman" w:eastAsia="Times New Roman" w:hAnsi="Times New Roman"/>
          <w:sz w:val="28"/>
        </w:rPr>
        <w:t xml:space="preserve">ица , передан холодильник стоимостью 18500,00 руб. для службы социальной реабилитации несовершеннолетних. Всего поступило основных средств на сумму 1185416,88 руб. Получены безвозмездно обучающие и развивающие материалы для детей от ГБУСО «Областной Центр </w:t>
      </w:r>
      <w:r>
        <w:rPr>
          <w:rFonts w:ascii="Times New Roman" w:eastAsia="Times New Roman" w:hAnsi="Times New Roman"/>
          <w:sz w:val="28"/>
        </w:rPr>
        <w:t>семьи» на сумму 7786,00 руб. Снят с балансового учета диван стоимостью 7600,00 руб. по причине физического износа. В целом балансовая стоимость основных средств увеличилась по сравнению с началом года на 14,6%, а материальных запасов – на 17,2%.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sz w:val="28"/>
        </w:rPr>
        <w:t>Сведения п</w:t>
      </w:r>
      <w:r>
        <w:rPr>
          <w:rFonts w:ascii="Times New Roman" w:eastAsia="Times New Roman" w:hAnsi="Times New Roman"/>
          <w:sz w:val="28"/>
        </w:rPr>
        <w:t>о счетам учета дебиторской и кредиторской задолженности  приведены в форме № 0503169.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sz w:val="28"/>
        </w:rPr>
        <w:t> 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sz w:val="28"/>
        </w:rPr>
        <w:t> </w:t>
      </w:r>
    </w:p>
    <w:tbl>
      <w:tblPr>
        <w:tblStyle w:val="NormalTable"/>
        <w:tblW w:w="120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550"/>
        <w:gridCol w:w="1727"/>
        <w:gridCol w:w="1728"/>
        <w:gridCol w:w="1727"/>
        <w:gridCol w:w="2210"/>
        <w:gridCol w:w="2073"/>
      </w:tblGrid>
      <w:tr w:rsidR="00000000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</w:rPr>
              <w:t xml:space="preserve">Наименование показателя               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</w:rPr>
              <w:t>На начало  отчетного года        (в рублях, коп.)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</w:rPr>
              <w:t>На конец отчетного года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</w:rPr>
              <w:t>Отклонения (+.-)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ind w:left="175"/>
              <w:jc w:val="both"/>
            </w:pPr>
            <w:r>
              <w:rPr>
                <w:rFonts w:ascii="Times New Roman" w:eastAsia="Times New Roman" w:hAnsi="Times New Roman"/>
              </w:rPr>
              <w:t>Причины увеличения просроченной задо</w:t>
            </w:r>
            <w:r>
              <w:rPr>
                <w:rFonts w:ascii="Times New Roman" w:eastAsia="Times New Roman" w:hAnsi="Times New Roman"/>
              </w:rPr>
              <w:t>лженности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</w:rPr>
              <w:t>Принимаемые меры по снижению просроченной задолженности</w:t>
            </w:r>
          </w:p>
        </w:tc>
      </w:tr>
      <w:tr w:rsidR="00000000">
        <w:tc>
          <w:tcPr>
            <w:tcW w:w="2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Общая сумма дебиторской задолженности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852099,15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942775,43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90676,28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center"/>
            </w:pPr>
            <w:r>
              <w:rPr>
                <w:rFonts w:ascii="Times New Roman" w:eastAsia="Times New Roman" w:hAnsi="Times New Roman"/>
                <w:b/>
                <w:sz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  <w:tr w:rsidR="00000000">
        <w:tc>
          <w:tcPr>
            <w:tcW w:w="2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i/>
                <w:sz w:val="24"/>
              </w:rPr>
              <w:t>в том числе просроченная дебиторская задолженность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ind w:left="33" w:firstLine="33"/>
              <w:jc w:val="center"/>
            </w:pPr>
            <w:r>
              <w:rPr>
                <w:rFonts w:ascii="Times New Roman" w:eastAsia="Times New Roman" w:hAnsi="Times New Roman"/>
                <w:b/>
                <w:sz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  <w:tr w:rsidR="00000000">
        <w:tc>
          <w:tcPr>
            <w:tcW w:w="2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Отношение просроченной дебиторской задолженнос</w:t>
            </w:r>
            <w:r>
              <w:rPr>
                <w:rFonts w:ascii="Times New Roman" w:eastAsia="Times New Roman" w:hAnsi="Times New Roman"/>
                <w:sz w:val="24"/>
              </w:rPr>
              <w:t>ти к общему объему дебиторской задолженности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center"/>
            </w:pPr>
            <w:r>
              <w:rPr>
                <w:rFonts w:ascii="Times New Roman" w:eastAsia="Times New Roman" w:hAnsi="Times New Roman"/>
                <w:b/>
                <w:sz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  <w:tr w:rsidR="00000000">
        <w:trPr>
          <w:trHeight w:val="286"/>
        </w:trPr>
        <w:tc>
          <w:tcPr>
            <w:tcW w:w="2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Общая сумма кредиторской задолженности</w:t>
            </w:r>
          </w:p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1512666,57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1339929,36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-172737,21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center"/>
            </w:pPr>
            <w:r>
              <w:rPr>
                <w:rFonts w:ascii="Times New Roman" w:eastAsia="Times New Roman" w:hAnsi="Times New Roman"/>
                <w:b/>
                <w:sz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  <w:tr w:rsidR="00000000">
        <w:trPr>
          <w:trHeight w:val="1411"/>
        </w:trPr>
        <w:tc>
          <w:tcPr>
            <w:tcW w:w="2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i/>
                <w:sz w:val="24"/>
              </w:rPr>
              <w:t>в том числе просроченная кредиторская задолженность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44049,68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center"/>
            </w:pPr>
            <w:r>
              <w:rPr>
                <w:rFonts w:ascii="Times New Roman" w:eastAsia="Times New Roman" w:hAnsi="Times New Roman"/>
                <w:sz w:val="24"/>
              </w:rPr>
              <w:t>-44049,68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center"/>
            </w:pPr>
            <w:r>
              <w:rPr>
                <w:rFonts w:ascii="Times New Roman" w:eastAsia="Times New Roman" w:hAnsi="Times New Roman"/>
                <w:b/>
                <w:sz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  <w:tr w:rsidR="00000000">
        <w:tc>
          <w:tcPr>
            <w:tcW w:w="2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Отношение просрочен</w:t>
            </w:r>
            <w:r>
              <w:rPr>
                <w:rFonts w:ascii="Times New Roman" w:eastAsia="Times New Roman" w:hAnsi="Times New Roman"/>
                <w:sz w:val="24"/>
              </w:rPr>
              <w:t>ной кредиторской  задолженности к общему объему кредиторской задолженности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2,9%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center"/>
            </w:pPr>
            <w:r>
              <w:rPr>
                <w:rFonts w:ascii="Times New Roman" w:eastAsia="Times New Roman" w:hAnsi="Times New Roman"/>
                <w:sz w:val="24"/>
              </w:rPr>
              <w:t>-2,9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center"/>
            </w:pPr>
            <w:r>
              <w:rPr>
                <w:rFonts w:ascii="Times New Roman" w:eastAsia="Times New Roman" w:hAnsi="Times New Roman"/>
                <w:b/>
                <w:sz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spacing w:line="275" w:lineRule="auto"/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</w:tbl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sz w:val="28"/>
        </w:rPr>
        <w:t> 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sz w:val="28"/>
        </w:rPr>
        <w:t>Расшифровка существенных остатков текущей дебиторской  задолженности на 01.01.2020г.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sz w:val="28"/>
        </w:rPr>
        <w:t>  </w:t>
      </w:r>
    </w:p>
    <w:p w:rsidR="00000000" w:rsidRDefault="00B51782">
      <w:pPr>
        <w:ind w:firstLine="540"/>
        <w:jc w:val="both"/>
      </w:pPr>
      <w:r>
        <w:rPr>
          <w:rFonts w:ascii="Times New Roman" w:eastAsia="Times New Roman" w:hAnsi="Times New Roman"/>
          <w:sz w:val="28"/>
        </w:rPr>
        <w:t>Дебиторская задолженность</w:t>
      </w:r>
    </w:p>
    <w:tbl>
      <w:tblPr>
        <w:tblStyle w:val="NormalTable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392"/>
        <w:gridCol w:w="2393"/>
        <w:gridCol w:w="2393"/>
        <w:gridCol w:w="2569"/>
      </w:tblGrid>
      <w:tr w:rsidR="00000000">
        <w:tc>
          <w:tcPr>
            <w:tcW w:w="2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jc w:val="both"/>
            </w:pPr>
            <w:r>
              <w:rPr>
                <w:rFonts w:ascii="Times New Roman" w:eastAsia="Times New Roman" w:hAnsi="Times New Roman"/>
                <w:sz w:val="28"/>
              </w:rPr>
              <w:t>Наименование контрагента</w:t>
            </w:r>
          </w:p>
        </w:tc>
        <w:tc>
          <w:tcPr>
            <w:tcW w:w="23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jc w:val="both"/>
            </w:pPr>
            <w:r>
              <w:rPr>
                <w:rFonts w:ascii="Times New Roman" w:eastAsia="Times New Roman" w:hAnsi="Times New Roman"/>
                <w:sz w:val="28"/>
              </w:rPr>
              <w:t>Сумма (в рублях с ко</w:t>
            </w:r>
            <w:r>
              <w:rPr>
                <w:rFonts w:ascii="Times New Roman" w:eastAsia="Times New Roman" w:hAnsi="Times New Roman"/>
                <w:sz w:val="28"/>
              </w:rPr>
              <w:t>п.)</w:t>
            </w:r>
          </w:p>
        </w:tc>
        <w:tc>
          <w:tcPr>
            <w:tcW w:w="23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jc w:val="both"/>
            </w:pPr>
            <w:r>
              <w:rPr>
                <w:rFonts w:ascii="Times New Roman" w:eastAsia="Times New Roman" w:hAnsi="Times New Roman"/>
                <w:sz w:val="28"/>
              </w:rPr>
              <w:t>в том числе просроченная задолженность     (в рублях с коп.)</w:t>
            </w:r>
          </w:p>
        </w:tc>
        <w:tc>
          <w:tcPr>
            <w:tcW w:w="25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jc w:val="both"/>
            </w:pPr>
            <w:r>
              <w:rPr>
                <w:rFonts w:ascii="Times New Roman" w:eastAsia="Times New Roman" w:hAnsi="Times New Roman"/>
                <w:sz w:val="28"/>
              </w:rPr>
              <w:t>Дата образования задолженности</w:t>
            </w:r>
          </w:p>
        </w:tc>
      </w:tr>
      <w:tr w:rsidR="00000000">
        <w:tc>
          <w:tcPr>
            <w:tcW w:w="23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jc w:val="both"/>
            </w:pPr>
            <w:r>
              <w:rPr>
                <w:rFonts w:ascii="Times New Roman" w:eastAsia="Times New Roman" w:hAnsi="Times New Roman"/>
                <w:sz w:val="28"/>
              </w:rPr>
              <w:t>УФПС Псковской области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jc w:val="both"/>
            </w:pPr>
            <w:r>
              <w:rPr>
                <w:rFonts w:ascii="Times New Roman" w:eastAsia="Times New Roman" w:hAnsi="Times New Roman"/>
                <w:sz w:val="28"/>
              </w:rPr>
              <w:t>776900,74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jc w:val="both"/>
            </w:pPr>
            <w:r>
              <w:rPr>
                <w:rFonts w:ascii="Times New Roman" w:eastAsia="Times New Roman" w:hAnsi="Times New Roman"/>
                <w:sz w:val="28"/>
              </w:rPr>
              <w:t>0,00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B51782">
            <w:pPr>
              <w:jc w:val="both"/>
            </w:pPr>
            <w:r>
              <w:rPr>
                <w:rFonts w:ascii="Times New Roman" w:eastAsia="Times New Roman" w:hAnsi="Times New Roman"/>
                <w:sz w:val="28"/>
              </w:rPr>
              <w:t>31.12.2019</w:t>
            </w:r>
          </w:p>
        </w:tc>
      </w:tr>
    </w:tbl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sz w:val="28"/>
        </w:rPr>
        <w:t> 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sz w:val="28"/>
        </w:rPr>
        <w:t>Дебиторская задолженность по отделению почтовой связи носит текущий характер и необходима для выплаты непол</w:t>
      </w:r>
      <w:r>
        <w:rPr>
          <w:rFonts w:ascii="Times New Roman" w:eastAsia="Times New Roman" w:hAnsi="Times New Roman"/>
          <w:sz w:val="28"/>
        </w:rPr>
        <w:t xml:space="preserve">ученных гражданами в декабре 2020г. ежемесячных денежных выплат (ЕДВ), детских пособий и других социальных выплат, доставка которых осуществляется  начиная с 5 января 2020г. 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sz w:val="28"/>
        </w:rPr>
        <w:t>Основная часть кредиторской задолженности - это расчеты по заработной плате и стр</w:t>
      </w:r>
      <w:r>
        <w:rPr>
          <w:rFonts w:ascii="Times New Roman" w:eastAsia="Times New Roman" w:hAnsi="Times New Roman"/>
          <w:sz w:val="28"/>
        </w:rPr>
        <w:t xml:space="preserve">аховым взносам за декабрь 2019г. 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sz w:val="28"/>
        </w:rPr>
        <w:t>Сведения об остатках денежных средств во временном распоряжении средств на 1 января 2020 года приведены в форме 0503178. Имеется остаток средств в размере 18953,84 руб. Денежные средства поступили в качестве обеспечения ис</w:t>
      </w:r>
      <w:r>
        <w:rPr>
          <w:rFonts w:ascii="Times New Roman" w:eastAsia="Times New Roman" w:hAnsi="Times New Roman"/>
          <w:sz w:val="28"/>
        </w:rPr>
        <w:t xml:space="preserve">полнения контрактов. 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sz w:val="28"/>
        </w:rPr>
        <w:t> </w:t>
      </w:r>
    </w:p>
    <w:p w:rsidR="00000000" w:rsidRDefault="00B51782">
      <w:pPr>
        <w:ind w:firstLine="709"/>
        <w:jc w:val="center"/>
      </w:pPr>
      <w:r>
        <w:rPr>
          <w:rFonts w:ascii="Times New Roman" w:eastAsia="Times New Roman" w:hAnsi="Times New Roman"/>
          <w:b/>
          <w:sz w:val="28"/>
        </w:rPr>
        <w:t xml:space="preserve">Раздел 5.  Прочие вопросы деятельности </w:t>
      </w:r>
    </w:p>
    <w:p w:rsidR="00000000" w:rsidRDefault="00B51782">
      <w:pPr>
        <w:ind w:firstLine="709"/>
        <w:jc w:val="center"/>
      </w:pPr>
      <w:r>
        <w:rPr>
          <w:rFonts w:ascii="Times New Roman" w:eastAsia="Times New Roman" w:hAnsi="Times New Roman"/>
          <w:b/>
          <w:sz w:val="28"/>
        </w:rPr>
        <w:t> </w:t>
      </w:r>
    </w:p>
    <w:p w:rsidR="00000000" w:rsidRDefault="00B51782">
      <w:pPr>
        <w:ind w:firstLine="709"/>
        <w:jc w:val="both"/>
      </w:pPr>
      <w:r>
        <w:rPr>
          <w:rFonts w:ascii="Times New Roman" w:eastAsia="Times New Roman" w:hAnsi="Times New Roman"/>
          <w:sz w:val="28"/>
        </w:rPr>
        <w:t>Бюджетный учет в 2019 году осуществлялся в соответствии с Единым планом счетов бухгалтерского учета для органов государственной власти (государственных органов), органов местного самоуправле</w:t>
      </w:r>
      <w:r>
        <w:rPr>
          <w:rFonts w:ascii="Times New Roman" w:eastAsia="Times New Roman" w:hAnsi="Times New Roman"/>
          <w:sz w:val="28"/>
        </w:rPr>
        <w:t>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Инструкцией по его применению, утвержденным приказом Министерства финансов России от  01 декабря 2010 года № 157н.</w:t>
      </w:r>
    </w:p>
    <w:p w:rsidR="00000000" w:rsidRDefault="00B51782">
      <w:pPr>
        <w:ind w:firstLine="709"/>
        <w:jc w:val="both"/>
      </w:pPr>
      <w:r>
        <w:rPr>
          <w:rFonts w:ascii="Times New Roman" w:eastAsia="Times New Roman" w:hAnsi="Times New Roman"/>
          <w:sz w:val="28"/>
        </w:rPr>
        <w:t>С</w:t>
      </w:r>
      <w:r>
        <w:rPr>
          <w:rFonts w:ascii="Times New Roman" w:eastAsia="Times New Roman" w:hAnsi="Times New Roman"/>
          <w:sz w:val="28"/>
        </w:rPr>
        <w:t>ведения об особенностях ведения бюджетного учета приведены в таблице № 4.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color w:val="000000"/>
          <w:sz w:val="28"/>
        </w:rPr>
        <w:t>В ГКУСО «Центр социального обслуживания Новосокольнического района» в 2019 году для ведения бухгалтерского учета использовался программный продукт «1С: Предприятие 8.2».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color w:val="000000"/>
          <w:sz w:val="28"/>
        </w:rPr>
        <w:t>По состоянию</w:t>
      </w:r>
      <w:r>
        <w:rPr>
          <w:rFonts w:ascii="Times New Roman" w:eastAsia="Times New Roman" w:hAnsi="Times New Roman"/>
          <w:color w:val="000000"/>
          <w:sz w:val="28"/>
        </w:rPr>
        <w:t xml:space="preserve"> на 01.12.2019г. проведена инвентаризация активов и обязательств. Расхождений с данными бухгалтерского учета не обнаружено.</w:t>
      </w:r>
    </w:p>
    <w:p w:rsidR="00000000" w:rsidRDefault="00B51782">
      <w:pPr>
        <w:ind w:firstLine="708"/>
        <w:jc w:val="both"/>
      </w:pPr>
      <w:r>
        <w:rPr>
          <w:rFonts w:ascii="Times New Roman" w:eastAsia="Times New Roman" w:hAnsi="Times New Roman"/>
          <w:sz w:val="28"/>
        </w:rPr>
        <w:t>Следующие формы: таблица №6 пояснительной записки, Сведения об иностранных целевых кредитах (ф.0503167), Сведения о финансовых вложе</w:t>
      </w:r>
      <w:r>
        <w:rPr>
          <w:rFonts w:ascii="Times New Roman" w:eastAsia="Times New Roman" w:hAnsi="Times New Roman"/>
          <w:sz w:val="28"/>
        </w:rPr>
        <w:t>ниях получателя бюджетных средств, администратора источников финансирования дефицита бюджета (ф.0503171), Сведения о государственном (муниципальном) долге (ф.0503172), Сведения об изменении остатков валюты баланса (ф.0503173),Сведения об остатке денежных с</w:t>
      </w:r>
      <w:r>
        <w:rPr>
          <w:rFonts w:ascii="Times New Roman" w:eastAsia="Times New Roman" w:hAnsi="Times New Roman"/>
          <w:sz w:val="28"/>
        </w:rPr>
        <w:t>редств на счетах получателя бюджетных средств (ф.0503178), Сведения об исполнении судебных решений приведены (ф.0503296) не оформлены, так как не имеют числовых показателей.</w:t>
      </w:r>
    </w:p>
    <w:p w:rsidR="00000000" w:rsidRDefault="00B51782">
      <w:pPr>
        <w:ind w:firstLine="709"/>
        <w:jc w:val="both"/>
      </w:pPr>
      <w:r>
        <w:rPr>
          <w:rFonts w:ascii="Times New Roman" w:eastAsia="Times New Roman" w:hAnsi="Times New Roman"/>
          <w:sz w:val="28"/>
        </w:rPr>
        <w:t> </w:t>
      </w:r>
    </w:p>
    <w:tbl>
      <w:tblPr>
        <w:tblStyle w:val="NormalTable"/>
        <w:tblW w:w="9380" w:type="dxa"/>
        <w:tblInd w:w="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/>
      </w:tblPr>
      <w:tblGrid>
        <w:gridCol w:w="3161"/>
        <w:gridCol w:w="4746"/>
        <w:gridCol w:w="1473"/>
      </w:tblGrid>
      <w:tr w:rsidR="00000000">
        <w:tc>
          <w:tcPr>
            <w:tcW w:w="35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Руководитель</w:t>
            </w:r>
          </w:p>
        </w:tc>
        <w:tc>
          <w:tcPr>
            <w:tcW w:w="20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ahoma" w:eastAsia="Tahoma" w:hAnsi="Tahoma"/>
                <w:noProof/>
                <w:sz w:val="20"/>
              </w:rPr>
              <w:drawing>
                <wp:inline distT="0" distB="0" distL="0" distR="0">
                  <wp:extent cx="2857500" cy="95250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952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  <w:u w:val="single"/>
              </w:rPr>
              <w:t>С.И.Ефименко</w:t>
            </w:r>
          </w:p>
        </w:tc>
      </w:tr>
      <w:tr w:rsidR="00000000">
        <w:trPr>
          <w:trHeight w:val="280"/>
        </w:trPr>
        <w:tc>
          <w:tcPr>
            <w:tcW w:w="35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20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(подпись)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(расшифровка подписи)</w:t>
            </w:r>
          </w:p>
        </w:tc>
      </w:tr>
      <w:tr w:rsidR="00000000">
        <w:trPr>
          <w:trHeight w:val="281"/>
        </w:trPr>
        <w:tc>
          <w:tcPr>
            <w:tcW w:w="0" w:type="auto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 </w:t>
            </w:r>
          </w:p>
        </w:tc>
      </w:tr>
      <w:tr w:rsidR="00000000">
        <w:trPr>
          <w:trHeight w:val="281"/>
        </w:trPr>
        <w:tc>
          <w:tcPr>
            <w:tcW w:w="35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Руководитель п</w:t>
            </w:r>
            <w:r>
              <w:rPr>
                <w:rFonts w:ascii="Times New Roman" w:eastAsia="Times New Roman" w:hAnsi="Times New Roman"/>
                <w:sz w:val="20"/>
              </w:rPr>
              <w:t>ланово-</w:t>
            </w:r>
          </w:p>
        </w:tc>
        <w:tc>
          <w:tcPr>
            <w:tcW w:w="20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rPr>
                <w:sz w:val="24"/>
              </w:rPr>
            </w:pPr>
          </w:p>
        </w:tc>
      </w:tr>
      <w:tr w:rsidR="00000000">
        <w:trPr>
          <w:trHeight w:val="281"/>
        </w:trPr>
        <w:tc>
          <w:tcPr>
            <w:tcW w:w="35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экономической службы</w:t>
            </w:r>
          </w:p>
        </w:tc>
        <w:tc>
          <w:tcPr>
            <w:tcW w:w="20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(подпись)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(расшифровка подписи)</w:t>
            </w:r>
          </w:p>
        </w:tc>
      </w:tr>
      <w:tr w:rsidR="00000000">
        <w:trPr>
          <w:trHeight w:val="281"/>
        </w:trPr>
        <w:tc>
          <w:tcPr>
            <w:tcW w:w="0" w:type="auto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rPr>
                <w:sz w:val="24"/>
              </w:rPr>
            </w:pPr>
          </w:p>
        </w:tc>
      </w:tr>
      <w:tr w:rsidR="00000000">
        <w:trPr>
          <w:trHeight w:val="281"/>
        </w:trPr>
        <w:tc>
          <w:tcPr>
            <w:tcW w:w="35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Главный</w:t>
            </w:r>
          </w:p>
        </w:tc>
        <w:tc>
          <w:tcPr>
            <w:tcW w:w="20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ahoma" w:eastAsia="Tahoma" w:hAnsi="Tahoma"/>
                <w:noProof/>
                <w:sz w:val="20"/>
              </w:rPr>
              <w:drawing>
                <wp:inline distT="0" distB="0" distL="0" distR="0">
                  <wp:extent cx="2857500" cy="952500"/>
                  <wp:effectExtent l="1905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952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B51782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  <w:u w:val="single"/>
              </w:rPr>
              <w:t>Н.А.Сапегина</w:t>
            </w:r>
          </w:p>
        </w:tc>
      </w:tr>
      <w:tr w:rsidR="00000000">
        <w:trPr>
          <w:trHeight w:val="281"/>
        </w:trPr>
        <w:tc>
          <w:tcPr>
            <w:tcW w:w="35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бухгалтер</w:t>
            </w:r>
          </w:p>
        </w:tc>
        <w:tc>
          <w:tcPr>
            <w:tcW w:w="20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(подпись)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(расшифровка подписи)</w:t>
            </w:r>
          </w:p>
        </w:tc>
      </w:tr>
      <w:tr w:rsidR="00000000">
        <w:trPr>
          <w:trHeight w:val="449"/>
        </w:trPr>
        <w:tc>
          <w:tcPr>
            <w:tcW w:w="35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>"____"   ____________ 20____г.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rPr>
                <w:sz w:val="24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B51782">
            <w:pPr>
              <w:rPr>
                <w:sz w:val="24"/>
              </w:rPr>
            </w:pPr>
          </w:p>
        </w:tc>
      </w:tr>
    </w:tbl>
    <w:p w:rsidR="00000000" w:rsidRDefault="00B51782" w:rsidP="00B51782"/>
    <w:sectPr w:rsidR="00000000">
      <w:pgSz w:w="12240" w:h="15840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compat>
    <w:adjustLineHeightInTable/>
  </w:compat>
  <w:rsids>
    <w:rsidRoot w:val="00B51782"/>
    <w:rsid w:val="00B51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black" strokecolor="black" shadowcolor="black" extrusioncolor="black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9" w:qFormat="1"/>
    <w:lsdException w:name="footnote text" w:uiPriority="9" w:qFormat="1"/>
    <w:lsdException w:name="annotation text" w:uiPriority="9" w:qFormat="1"/>
    <w:lsdException w:name="header" w:uiPriority="9" w:qFormat="1"/>
    <w:lsdException w:name="footer" w:uiPriority="9" w:qFormat="1"/>
    <w:lsdException w:name="index heading" w:uiPriority="9" w:qFormat="1"/>
    <w:lsdException w:name="caption" w:semiHidden="1" w:uiPriority="9" w:unhideWhenUsed="1" w:qFormat="1"/>
    <w:lsdException w:name="table of figures" w:uiPriority="9" w:qFormat="1"/>
    <w:lsdException w:name="envelope address" w:uiPriority="9" w:qFormat="1"/>
    <w:lsdException w:name="envelope return" w:uiPriority="9" w:qFormat="1"/>
    <w:lsdException w:name="footnote reference" w:uiPriority="9" w:qFormat="1"/>
    <w:lsdException w:name="annotation reference" w:uiPriority="9" w:qFormat="1"/>
    <w:lsdException w:name="line number" w:uiPriority="9" w:qFormat="1"/>
    <w:lsdException w:name="page number" w:uiPriority="9" w:qFormat="1"/>
    <w:lsdException w:name="endnote reference" w:uiPriority="9" w:qFormat="1"/>
    <w:lsdException w:name="endnote text" w:uiPriority="9" w:qFormat="1"/>
    <w:lsdException w:name="table of authorities" w:uiPriority="9" w:qFormat="1"/>
    <w:lsdException w:name="macro" w:uiPriority="9" w:qFormat="1"/>
    <w:lsdException w:name="toa heading" w:uiPriority="9" w:qFormat="1"/>
    <w:lsdException w:name="List" w:uiPriority="9" w:qFormat="1"/>
    <w:lsdException w:name="List Bullet" w:uiPriority="9" w:qFormat="1"/>
    <w:lsdException w:name="List Number" w:uiPriority="9" w:qFormat="1"/>
    <w:lsdException w:name="List 2" w:uiPriority="9" w:qFormat="1"/>
    <w:lsdException w:name="List 3" w:uiPriority="9" w:qFormat="1"/>
    <w:lsdException w:name="List 4" w:uiPriority="9" w:qFormat="1"/>
    <w:lsdException w:name="List 5" w:uiPriority="9" w:qFormat="1"/>
    <w:lsdException w:name="List Bullet 2" w:uiPriority="9" w:qFormat="1"/>
    <w:lsdException w:name="List Bullet 3" w:uiPriority="9" w:qFormat="1"/>
    <w:lsdException w:name="List Bullet 4" w:uiPriority="9" w:qFormat="1"/>
    <w:lsdException w:name="List Bullet 5" w:uiPriority="9" w:qFormat="1"/>
    <w:lsdException w:name="List Number 2" w:uiPriority="9" w:qFormat="1"/>
    <w:lsdException w:name="List Number 3" w:uiPriority="9" w:qFormat="1"/>
    <w:lsdException w:name="List Number 4" w:uiPriority="9" w:qFormat="1"/>
    <w:lsdException w:name="List Number 5" w:uiPriority="9" w:qFormat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</w:pBdr>
    </w:pPr>
    <w:rPr>
      <w:sz w:val="22"/>
    </w:rPr>
  </w:style>
  <w:style w:type="character" w:default="1" w:styleId="a0">
    <w:name w:val="Default Paragraph Font"/>
    <w:rPr>
      <w:sz w:val="22"/>
    </w:rPr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next w:val="a"/>
  </w:style>
  <w:style w:type="character" w:customStyle="1" w:styleId="LineNumber">
    <w:name w:val="Line Number"/>
    <w:basedOn w:val="a0"/>
  </w:style>
  <w:style w:type="character" w:customStyle="1" w:styleId="Hyperlink">
    <w:name w:val="Hyperlink"/>
    <w:rPr>
      <w:color w:val="0000FF"/>
      <w:u w:val="single"/>
    </w:rPr>
  </w:style>
  <w:style w:type="table" w:customStyle="1" w:styleId="NormalTable">
    <w:name w:val="Normal Table"/>
    <w:rPr>
      <w:sz w:val="22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imple1">
    <w:name w:val="Table Simple 1"/>
    <w:basedOn w:val="NormalTabl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1630</Words>
  <Characters>9291</Characters>
  <Application>Microsoft Office Word</Application>
  <DocSecurity>0</DocSecurity>
  <Lines>77</Lines>
  <Paragraphs>21</Paragraphs>
  <ScaleCrop>false</ScaleCrop>
  <Company>Microsoft</Company>
  <LinksUpToDate>false</LinksUpToDate>
  <CharactersWithSpaces>10900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IIS APPPOOL\svodweb</dc:creator>
  <cp:lastModifiedBy>home</cp:lastModifiedBy>
  <cp:revision>2</cp:revision>
  <dcterms:created xsi:type="dcterms:W3CDTF">2020-06-17T07:55:00Z</dcterms:created>
  <dcterms:modified xsi:type="dcterms:W3CDTF">2020-06-17T07:55:00Z</dcterms:modified>
</cp:coreProperties>
</file>